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C97390">
      <w:pPr>
        <w:pStyle w:val="3"/>
        <w:jc w:val="left"/>
        <w:rPr>
          <w:rFonts w:eastAsia="宋体"/>
          <w:b/>
          <w:color w:val="FF0000"/>
          <w:sz w:val="28"/>
          <w:szCs w:val="28"/>
          <w:lang w:eastAsia="zh-CN"/>
        </w:rPr>
      </w:pPr>
      <w:r>
        <w:rPr>
          <w:rFonts w:hint="eastAsia" w:eastAsia="宋体"/>
          <w:b/>
          <w:color w:val="FF0000"/>
          <w:sz w:val="28"/>
          <w:szCs w:val="28"/>
          <w:lang w:eastAsia="zh-CN"/>
        </w:rPr>
        <w:t>Size：</w:t>
      </w:r>
      <w:r>
        <w:rPr>
          <w:rFonts w:eastAsia="宋体"/>
          <w:b/>
          <w:color w:val="FF0000"/>
          <w:sz w:val="28"/>
          <w:szCs w:val="28"/>
          <w:lang w:eastAsia="zh-CN"/>
        </w:rPr>
        <w:t>W0.90m*H1.2m</w:t>
      </w:r>
    </w:p>
    <w:p w14:paraId="2A9C6F6E">
      <w:pPr>
        <w:pStyle w:val="3"/>
        <w:rPr>
          <w:rFonts w:eastAsia="宋体"/>
          <w:b/>
          <w:sz w:val="28"/>
          <w:szCs w:val="28"/>
          <w:lang w:eastAsia="zh-CN"/>
        </w:rPr>
      </w:pPr>
      <w:r>
        <w:rPr>
          <w:rFonts w:eastAsia="宋体"/>
          <w:b/>
          <w:sz w:val="28"/>
          <w:szCs w:val="28"/>
          <w:lang w:eastAsia="zh-CN"/>
        </w:rPr>
        <w:t>Single-shot 8-frame Direct Imaging with an Effective Frame Rate up to 40 Tfps and a two-dimensional Space-bandwidth-</w:t>
      </w:r>
      <w:r>
        <w:rPr>
          <w:rFonts w:hint="eastAsia" w:eastAsia="宋体"/>
          <w:b/>
          <w:sz w:val="28"/>
          <w:szCs w:val="28"/>
          <w:lang w:eastAsia="zh-CN"/>
        </w:rPr>
        <w:t>p</w:t>
      </w:r>
      <w:r>
        <w:rPr>
          <w:rFonts w:eastAsia="宋体"/>
          <w:b/>
          <w:sz w:val="28"/>
          <w:szCs w:val="28"/>
          <w:lang w:eastAsia="zh-CN"/>
        </w:rPr>
        <w:t>roduct beyond 65,500</w:t>
      </w:r>
    </w:p>
    <w:p w14:paraId="69757664">
      <w:pPr>
        <w:pStyle w:val="3"/>
        <w:rPr>
          <w:rFonts w:eastAsia="宋体"/>
          <w:sz w:val="22"/>
          <w:szCs w:val="22"/>
          <w:lang w:eastAsia="zh-CN"/>
        </w:rPr>
      </w:pPr>
    </w:p>
    <w:p w14:paraId="10AB9F54">
      <w:pPr>
        <w:pStyle w:val="3"/>
        <w:rPr>
          <w:rFonts w:eastAsia="宋体"/>
          <w:sz w:val="20"/>
          <w:vertAlign w:val="superscript"/>
          <w:lang w:eastAsia="zh-CN"/>
        </w:rPr>
      </w:pPr>
      <w:r>
        <w:rPr>
          <w:rFonts w:eastAsiaTheme="minorEastAsia"/>
          <w:sz w:val="21"/>
          <w:szCs w:val="16"/>
          <w:lang w:eastAsia="ja-JP"/>
        </w:rPr>
        <w:t xml:space="preserve">Congying Wang, Rui Zhang, Xuanke Zeng,* </w:t>
      </w:r>
      <w:r>
        <w:rPr>
          <w:rFonts w:eastAsia="宋体"/>
          <w:sz w:val="21"/>
          <w:szCs w:val="16"/>
          <w:lang w:eastAsia="zh-CN"/>
        </w:rPr>
        <w:t>Yi</w:t>
      </w:r>
      <w:r>
        <w:rPr>
          <w:rFonts w:eastAsiaTheme="minorEastAsia"/>
          <w:sz w:val="21"/>
          <w:szCs w:val="16"/>
          <w:lang w:eastAsia="ja-JP"/>
        </w:rPr>
        <w:t xml:space="preserve"> Cai, Xiaowei Lu, Shixiang Xu, Jingzhen Li, and Dianyuan Fan</w:t>
      </w:r>
    </w:p>
    <w:p w14:paraId="267FC937">
      <w:pPr>
        <w:jc w:val="center"/>
        <w:rPr>
          <w:rFonts w:eastAsia="宋体"/>
          <w:sz w:val="18"/>
          <w:szCs w:val="18"/>
          <w:lang w:eastAsia="zh-CN"/>
        </w:rPr>
      </w:pPr>
      <w:r>
        <w:rPr>
          <w:rFonts w:eastAsia="宋体"/>
          <w:sz w:val="18"/>
          <w:szCs w:val="18"/>
          <w:lang w:eastAsia="zh-CN"/>
        </w:rPr>
        <w:t>College of Physics and Optoelectronic Engineering, Shenzhen University, Shenzhen 518060, China</w:t>
      </w:r>
    </w:p>
    <w:p w14:paraId="230C1E14">
      <w:pPr>
        <w:jc w:val="center"/>
        <w:rPr>
          <w:rFonts w:eastAsiaTheme="minorEastAsia"/>
          <w:sz w:val="18"/>
          <w:szCs w:val="18"/>
          <w:lang w:eastAsia="ja-JP"/>
        </w:rPr>
      </w:pPr>
      <w:r>
        <w:rPr>
          <w:rFonts w:hint="eastAsia" w:eastAsiaTheme="minorEastAsia"/>
          <w:sz w:val="18"/>
          <w:szCs w:val="18"/>
          <w:lang w:eastAsia="ja-JP"/>
        </w:rPr>
        <w:t xml:space="preserve">*Corresponding Author </w:t>
      </w:r>
      <w:bookmarkStart w:id="5" w:name="_GoBack"/>
      <w:bookmarkEnd w:id="5"/>
    </w:p>
    <w:p w14:paraId="14DB615A">
      <w:pPr>
        <w:tabs>
          <w:tab w:val="left" w:pos="2979"/>
          <w:tab w:val="center" w:pos="4535"/>
        </w:tabs>
        <w:rPr>
          <w:lang w:eastAsia="zh-TW"/>
        </w:rPr>
      </w:pPr>
      <w:r>
        <w:rPr>
          <w:lang w:eastAsia="zh-TW"/>
        </w:rPr>
        <w:tab/>
      </w:r>
      <w:r>
        <w:rPr>
          <w:lang w:eastAsia="zh-TW"/>
        </w:rPr>
        <w:tab/>
      </w:r>
    </w:p>
    <w:p w14:paraId="1B65CC83">
      <w:pPr>
        <w:pStyle w:val="3"/>
        <w:spacing w:before="240" w:beforeLines="100" w:after="240" w:afterLines="100"/>
        <w:jc w:val="both"/>
        <w:rPr>
          <w:b/>
          <w:sz w:val="21"/>
          <w:szCs w:val="21"/>
        </w:rPr>
        <w:sectPr>
          <w:headerReference r:id="rId5" w:type="first"/>
          <w:footerReference r:id="rId8" w:type="first"/>
          <w:headerReference r:id="rId3" w:type="default"/>
          <w:footerReference r:id="rId6" w:type="default"/>
          <w:headerReference r:id="rId4" w:type="even"/>
          <w:footerReference r:id="rId7" w:type="even"/>
          <w:type w:val="continuous"/>
          <w:pgSz w:w="11907" w:h="15819"/>
          <w:pgMar w:top="1418" w:right="1418" w:bottom="1418" w:left="1418" w:header="1077" w:footer="1077" w:gutter="0"/>
          <w:cols w:space="360" w:num="1"/>
          <w:titlePg/>
        </w:sectPr>
      </w:pPr>
    </w:p>
    <w:p w14:paraId="22EAA076">
      <w:pPr>
        <w:pStyle w:val="3"/>
        <w:spacing w:before="240" w:beforeLines="100" w:after="240" w:afterLines="100"/>
        <w:jc w:val="both"/>
        <w:rPr>
          <w:b/>
          <w:sz w:val="16"/>
          <w:szCs w:val="16"/>
          <w:lang w:eastAsia="zh-TW"/>
        </w:rPr>
      </w:pPr>
      <w:r>
        <w:rPr>
          <w:b/>
          <w:sz w:val="16"/>
          <w:szCs w:val="16"/>
        </w:rPr>
        <w:t xml:space="preserve">Abstract </w:t>
      </w:r>
      <w:r>
        <w:rPr>
          <w:bCs/>
          <w:sz w:val="16"/>
          <w:szCs w:val="16"/>
        </w:rPr>
        <w:t>Compared with computational imaging, direct imaging is still a concern since it provides more intuitive and reliable spatiotemporal information of the target. The paper presents a single-shot ultrafast framing direct imaging based on polarization-spatial-e</w:t>
      </w:r>
      <w:r>
        <w:rPr>
          <w:rFonts w:hint="eastAsia"/>
          <w:bCs/>
          <w:sz w:val="16"/>
          <w:szCs w:val="16"/>
        </w:rPr>
        <w:t xml:space="preserve">ncoding via. non-collinear optical parametric amplification (OPA) with remarkable imaging seed and spatiotemporal resolutions. </w:t>
      </w:r>
      <w:r>
        <w:rPr>
          <w:bCs/>
          <w:sz w:val="16"/>
          <w:szCs w:val="16"/>
        </w:rPr>
        <w:t>Targeted with laser-induced air plasma, our experiments verify the single-shot imaging system has carried out 8-frame direct imaging by 25 fs temporal resolution, 40 trillion frames per second (Tfps) effective frame rate, and beyond 25.6 lp/mm spatial resolution over a 10×10 mm</w:t>
      </w:r>
      <w:r>
        <w:rPr>
          <w:bCs/>
          <w:sz w:val="16"/>
          <w:szCs w:val="16"/>
          <w:vertAlign w:val="superscript"/>
        </w:rPr>
        <w:t>2</w:t>
      </w:r>
      <w:r>
        <w:rPr>
          <w:bCs/>
          <w:sz w:val="16"/>
          <w:szCs w:val="16"/>
        </w:rPr>
        <w:t xml:space="preserve"> field-of-view. The experimental results also show the capture of richer spatiotemporal details of air plasma in the early stage (0~3.6 ps) after excitation. The temporal window can be flexibly expanded by changing the frame interval.This work provides a powerful tool for accurately understanding dynamic processes on the femtosecond to picosecond scale for non-repeatable or random dynamic scenarios.</w:t>
      </w:r>
    </w:p>
    <w:p w14:paraId="3012DC6A">
      <w:pPr>
        <w:pStyle w:val="6"/>
        <w:rPr>
          <w:rFonts w:eastAsia="宋体"/>
          <w:sz w:val="16"/>
          <w:szCs w:val="16"/>
          <w:lang w:eastAsia="zh-CN"/>
        </w:rPr>
      </w:pPr>
      <w:r>
        <w:rPr>
          <w:b/>
          <w:bCs/>
          <w:sz w:val="16"/>
          <w:szCs w:val="16"/>
          <w:lang w:eastAsia="zh-CN"/>
        </w:rPr>
        <w:t xml:space="preserve">Introduction </w:t>
      </w:r>
      <w:r>
        <w:rPr>
          <w:sz w:val="16"/>
          <w:szCs w:val="16"/>
          <w:lang w:eastAsia="zh-CN"/>
        </w:rPr>
        <w:t>Ultrafast optical imaging captures spatiotemporal information of dynamic scenes on time scales ranging from nanoseconds to femtoseconds, making it a focal point of recent research. As a powerful tool, it has been successfully applied in various fields, including physics [1-4], chemistry [5], and biology [6]. As is known, it can be realized by pump-probe, which is qualified to reveal diverse macroscopic and microscopic ultrafast dynamic processes [7], where the target dynamic scenes are repeatable with high stability. For non-repeatable or random dynamic scenarios, such as shockwave propagation and laser-matter interactions [8], the single-shot mode is required for ultrafast optical imaging.</w:t>
      </w:r>
    </w:p>
    <w:p w14:paraId="26418AC4">
      <w:pPr>
        <w:pStyle w:val="6"/>
        <w:rPr>
          <w:rFonts w:eastAsia="宋体"/>
          <w:sz w:val="16"/>
          <w:szCs w:val="16"/>
          <w:lang w:eastAsia="zh-CN"/>
        </w:rPr>
      </w:pPr>
      <w:r>
        <w:rPr>
          <w:rFonts w:eastAsia="宋体"/>
          <w:b/>
          <w:bCs/>
          <w:sz w:val="16"/>
          <w:szCs w:val="16"/>
          <w:lang w:eastAsia="zh-CN"/>
        </w:rPr>
        <w:t xml:space="preserve">Principle and Experimental Setup </w:t>
      </w:r>
      <w:r>
        <w:rPr>
          <w:rFonts w:eastAsia="宋体"/>
          <w:sz w:val="16"/>
          <w:szCs w:val="16"/>
          <w:lang w:eastAsia="zh-CN"/>
        </w:rPr>
        <w:t xml:space="preserve">The idea of the framing imaging system is based on polarization-spatial encoding. First, polarizing optical devices split the probe signal carrying ultrafast target events into two parallel branches with horizontal and vertical polarization, respectively. Each branch then uses cascaded OPAs to extract multiple temporal sequence images from spatially separated idlers. </w:t>
      </w:r>
    </w:p>
    <w:p w14:paraId="4078E004">
      <w:pPr>
        <w:pStyle w:val="6"/>
        <w:rPr>
          <w:rFonts w:eastAsia="宋体"/>
          <w:sz w:val="16"/>
          <w:szCs w:val="16"/>
          <w:lang w:eastAsia="zh-CN"/>
        </w:rPr>
      </w:pPr>
    </w:p>
    <w:p w14:paraId="4263EA71">
      <w:pPr>
        <w:pStyle w:val="6"/>
        <w:jc w:val="center"/>
        <w:rPr>
          <w:rFonts w:eastAsia="宋体"/>
          <w:b/>
          <w:bCs/>
          <w:sz w:val="16"/>
          <w:szCs w:val="16"/>
          <w:lang w:eastAsia="zh-CN"/>
        </w:rPr>
      </w:pPr>
      <w:r>
        <w:rPr>
          <w:sz w:val="16"/>
          <w:szCs w:val="16"/>
        </w:rPr>
        <w:drawing>
          <wp:inline distT="0" distB="0" distL="0" distR="0">
            <wp:extent cx="2543175" cy="1561465"/>
            <wp:effectExtent l="0" t="0" r="9525" b="6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0"/>
                    <a:stretch>
                      <a:fillRect/>
                    </a:stretch>
                  </pic:blipFill>
                  <pic:spPr>
                    <a:xfrm>
                      <a:off x="0" y="0"/>
                      <a:ext cx="2580920" cy="1584468"/>
                    </a:xfrm>
                    <a:prstGeom prst="rect">
                      <a:avLst/>
                    </a:prstGeom>
                  </pic:spPr>
                </pic:pic>
              </a:graphicData>
            </a:graphic>
          </wp:inline>
        </w:drawing>
      </w:r>
    </w:p>
    <w:p w14:paraId="0339EAAF">
      <w:pPr>
        <w:pStyle w:val="6"/>
        <w:rPr>
          <w:rFonts w:eastAsia="宋体"/>
          <w:sz w:val="15"/>
          <w:szCs w:val="15"/>
          <w:lang w:eastAsia="zh-CN"/>
        </w:rPr>
      </w:pPr>
      <w:r>
        <w:rPr>
          <w:rFonts w:eastAsia="宋体"/>
          <w:b/>
          <w:bCs/>
          <w:sz w:val="15"/>
          <w:szCs w:val="15"/>
          <w:lang w:eastAsia="zh-CN"/>
        </w:rPr>
        <w:t xml:space="preserve">Fig. 1. </w:t>
      </w:r>
      <w:r>
        <w:rPr>
          <w:rFonts w:eastAsia="宋体"/>
          <w:sz w:val="15"/>
          <w:szCs w:val="15"/>
          <w:lang w:eastAsia="zh-CN"/>
        </w:rPr>
        <w:t>Experimental setup for the single-shot framing imaging technology with an effective frame rate of 40 Tfps using polarization-spatial encoding.</w:t>
      </w:r>
    </w:p>
    <w:p w14:paraId="02EA66D8">
      <w:pPr>
        <w:pStyle w:val="6"/>
        <w:rPr>
          <w:rFonts w:eastAsia="宋体"/>
          <w:b/>
          <w:bCs/>
          <w:sz w:val="15"/>
          <w:szCs w:val="15"/>
          <w:lang w:eastAsia="zh-CN"/>
        </w:rPr>
      </w:pPr>
    </w:p>
    <w:p w14:paraId="706CF4D3">
      <w:pPr>
        <w:jc w:val="both"/>
        <w:rPr>
          <w:rFonts w:eastAsia="宋体"/>
          <w:sz w:val="16"/>
          <w:szCs w:val="16"/>
          <w:lang w:eastAsia="zh-CN"/>
        </w:rPr>
      </w:pPr>
      <w:r>
        <w:rPr>
          <w:rFonts w:eastAsia="宋体"/>
          <w:b/>
          <w:bCs/>
          <w:sz w:val="16"/>
          <w:szCs w:val="16"/>
          <w:lang w:eastAsia="zh-CN"/>
        </w:rPr>
        <w:t xml:space="preserve">Results and Discussion </w:t>
      </w:r>
      <w:r>
        <w:rPr>
          <w:sz w:val="16"/>
          <w:szCs w:val="16"/>
        </w:rPr>
        <w:t xml:space="preserve">Changes in transmittance reflect the modulation of the probe signal pulse by the air plasma, further revealing the evolution of the plasma's electron density. We plotted the transmittance of the plasma along the </w:t>
      </w:r>
      <w:r>
        <w:rPr>
          <w:i/>
          <w:iCs/>
          <w:sz w:val="16"/>
          <w:szCs w:val="16"/>
        </w:rPr>
        <w:t>z</w:t>
      </w:r>
      <w:r>
        <w:rPr>
          <w:sz w:val="16"/>
          <w:szCs w:val="16"/>
        </w:rPr>
        <w:t xml:space="preserve">-axis propagation direction and used the above method to calculate the electron density distribution along the </w:t>
      </w:r>
      <w:r>
        <w:rPr>
          <w:i/>
          <w:iCs/>
          <w:sz w:val="16"/>
          <w:szCs w:val="16"/>
        </w:rPr>
        <w:t>z</w:t>
      </w:r>
      <w:r>
        <w:rPr>
          <w:sz w:val="16"/>
          <w:szCs w:val="16"/>
        </w:rPr>
        <w:t>-axis, as shown in Figure 2(a). per unit volume generate stronger electric fields, leading to higher oscillation frequencies.</w:t>
      </w:r>
      <w:r>
        <w:rPr>
          <w:rFonts w:asciiTheme="minorHAnsi" w:hAnsiTheme="minorHAnsi" w:eastAsiaTheme="minorEastAsia" w:cstheme="minorBidi"/>
          <w:sz w:val="21"/>
          <w:szCs w:val="21"/>
        </w:rPr>
        <w:t xml:space="preserve"> </w:t>
      </w:r>
      <w:r>
        <w:rPr>
          <w:sz w:val="16"/>
          <w:szCs w:val="16"/>
        </w:rPr>
        <w:t>To validate the system's capability to record non-uniform transient events, we used varying frame intervals, setting the relative delays of the eight pump beams to 0, 0.025, 0.125, 0.225, 0.5, 1.25, 2.05, and 3.05 ps. The framing images of the plasma's evolution are shown in Figure 6(b). From 0 fs to 3.05 ps, the plasma propagated from right to left, and during the early stages (0-0.5 ps), the modulation of the probe signal increased rapidly, causing the transmittance to drop sharply. At 0.5 ps, the transmittance reached its minimum, indicating the peak electron density. Then, the plasma density remained high but gradually declined from 0.5 ps to 3.05 ps. Since the duration of plasma generation, relaxation, and dissipation exceeded the probe light's pulse width, only part of the evolution process was captured. To observe the entire process, the probe signal pulse width could be further extended.</w:t>
      </w:r>
    </w:p>
    <w:p w14:paraId="2879A491">
      <w:pPr>
        <w:jc w:val="both"/>
        <w:rPr>
          <w:rFonts w:hint="eastAsia" w:eastAsia="宋体"/>
          <w:sz w:val="16"/>
          <w:szCs w:val="16"/>
          <w:lang w:eastAsia="zh-CN"/>
        </w:rPr>
      </w:pPr>
    </w:p>
    <w:p w14:paraId="3D77585A">
      <w:pPr>
        <w:jc w:val="center"/>
        <w:rPr>
          <w:rFonts w:eastAsia="宋体"/>
          <w:b/>
          <w:bCs/>
          <w:sz w:val="16"/>
          <w:szCs w:val="16"/>
          <w:lang w:eastAsia="zh-CN"/>
        </w:rPr>
      </w:pPr>
      <w:r>
        <w:rPr>
          <w:sz w:val="16"/>
          <w:szCs w:val="16"/>
        </w:rPr>
        <w:drawing>
          <wp:inline distT="0" distB="0" distL="0" distR="0">
            <wp:extent cx="2325370" cy="1024255"/>
            <wp:effectExtent l="0" t="0" r="0" b="444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1"/>
                    <a:stretch>
                      <a:fillRect/>
                    </a:stretch>
                  </pic:blipFill>
                  <pic:spPr>
                    <a:xfrm>
                      <a:off x="0" y="0"/>
                      <a:ext cx="2365447" cy="1042299"/>
                    </a:xfrm>
                    <a:prstGeom prst="rect">
                      <a:avLst/>
                    </a:prstGeom>
                  </pic:spPr>
                </pic:pic>
              </a:graphicData>
            </a:graphic>
          </wp:inline>
        </w:drawing>
      </w:r>
    </w:p>
    <w:p w14:paraId="4FABA7E9">
      <w:pPr>
        <w:jc w:val="both"/>
        <w:rPr>
          <w:rFonts w:eastAsia="宋体"/>
          <w:sz w:val="15"/>
          <w:szCs w:val="15"/>
          <w:lang w:eastAsia="zh-CN"/>
        </w:rPr>
      </w:pPr>
      <w:bookmarkStart w:id="0" w:name="OLE_LINK6"/>
      <w:r>
        <w:rPr>
          <w:rFonts w:eastAsia="宋体"/>
          <w:b/>
          <w:bCs/>
          <w:sz w:val="15"/>
          <w:szCs w:val="15"/>
          <w:lang w:eastAsia="zh-CN"/>
        </w:rPr>
        <w:t xml:space="preserve">Fig. 2. (a) </w:t>
      </w:r>
      <w:r>
        <w:rPr>
          <w:rFonts w:eastAsia="宋体"/>
          <w:sz w:val="15"/>
          <w:szCs w:val="15"/>
          <w:lang w:eastAsia="zh-CN"/>
        </w:rPr>
        <w:t>Transmittance image of femtosecond laser-induced air plasma recorded by idler, and</w:t>
      </w:r>
      <w:r>
        <w:rPr>
          <w:rFonts w:eastAsia="宋体"/>
          <w:b/>
          <w:bCs/>
          <w:sz w:val="15"/>
          <w:szCs w:val="15"/>
          <w:lang w:eastAsia="zh-CN"/>
        </w:rPr>
        <w:t xml:space="preserve"> (b) </w:t>
      </w:r>
      <w:r>
        <w:rPr>
          <w:rFonts w:eastAsia="宋体"/>
          <w:sz w:val="15"/>
          <w:szCs w:val="15"/>
          <w:lang w:eastAsia="zh-CN"/>
        </w:rPr>
        <w:t xml:space="preserve">the normalized modulation intensity (MI) profiles vertical to </w:t>
      </w:r>
      <w:r>
        <w:rPr>
          <w:rFonts w:eastAsia="宋体"/>
          <w:i/>
          <w:iCs/>
          <w:sz w:val="15"/>
          <w:szCs w:val="15"/>
          <w:lang w:eastAsia="zh-CN"/>
        </w:rPr>
        <w:t>z</w:t>
      </w:r>
      <w:r>
        <w:rPr>
          <w:rFonts w:eastAsia="宋体"/>
          <w:sz w:val="15"/>
          <w:szCs w:val="15"/>
          <w:lang w:eastAsia="zh-CN"/>
        </w:rPr>
        <w:t>-direction along the black and white lines marked in Figure 4(a).</w:t>
      </w:r>
      <w:bookmarkEnd w:id="0"/>
      <w:r>
        <w:rPr>
          <w:rFonts w:eastAsia="宋体"/>
          <w:sz w:val="15"/>
          <w:szCs w:val="15"/>
          <w:lang w:eastAsia="zh-CN"/>
        </w:rPr>
        <w:t xml:space="preserve"> Scale bar: 100 μm.</w:t>
      </w:r>
    </w:p>
    <w:p w14:paraId="04E2FF51">
      <w:pPr>
        <w:jc w:val="both"/>
        <w:rPr>
          <w:rFonts w:eastAsia="宋体"/>
          <w:b/>
          <w:bCs/>
          <w:sz w:val="15"/>
          <w:szCs w:val="15"/>
          <w:lang w:eastAsia="zh-CN"/>
        </w:rPr>
      </w:pPr>
    </w:p>
    <w:p w14:paraId="5DF41AD5">
      <w:pPr>
        <w:jc w:val="both"/>
        <w:rPr>
          <w:rFonts w:eastAsia="宋体"/>
          <w:sz w:val="16"/>
          <w:szCs w:val="16"/>
          <w:lang w:eastAsia="zh-CN"/>
        </w:rPr>
      </w:pPr>
      <w:r>
        <w:rPr>
          <w:rFonts w:eastAsia="宋体"/>
          <w:b/>
          <w:bCs/>
          <w:sz w:val="16"/>
          <w:szCs w:val="16"/>
          <w:lang w:eastAsia="zh-CN"/>
        </w:rPr>
        <w:t xml:space="preserve">Conclusion </w:t>
      </w:r>
      <w:r>
        <w:rPr>
          <w:rFonts w:eastAsia="宋体"/>
          <w:sz w:val="16"/>
          <w:szCs w:val="16"/>
          <w:lang w:eastAsia="zh-CN"/>
        </w:rPr>
        <w:t xml:space="preserve">To accurately, intuitively, and reliably observe ultrafast target events with abundant spatiotemporal details, this paper proposes a single-shot ultrafast framing direct imaging based on polarization-spatial-encoding through multiple non-collinear </w:t>
      </w:r>
      <w:r>
        <w:rPr>
          <w:rFonts w:hint="eastAsia" w:eastAsia="宋体"/>
          <w:sz w:val="16"/>
          <w:szCs w:val="16"/>
          <w:lang w:eastAsia="zh-CN"/>
        </w:rPr>
        <w:t>OPA</w:t>
      </w:r>
      <w:r>
        <w:rPr>
          <w:rFonts w:eastAsia="宋体"/>
          <w:sz w:val="16"/>
          <w:szCs w:val="16"/>
          <w:lang w:eastAsia="zh-CN"/>
        </w:rPr>
        <w:t xml:space="preserve"> with remarkable imaging seed and spatiotemporal resolutions. </w:t>
      </w:r>
      <w:r>
        <w:rPr>
          <w:rFonts w:hint="eastAsia" w:eastAsia="宋体"/>
          <w:sz w:val="16"/>
          <w:szCs w:val="16"/>
          <w:lang w:eastAsia="zh-CN"/>
        </w:rPr>
        <w:t xml:space="preserve">In order to </w:t>
      </w:r>
      <w:r>
        <w:rPr>
          <w:rFonts w:eastAsia="宋体"/>
          <w:sz w:val="16"/>
          <w:szCs w:val="16"/>
          <w:lang w:eastAsia="zh-CN"/>
        </w:rPr>
        <w:t xml:space="preserve">address the technological and engineering challenges faced by FINCOPA in increasing the frame </w:t>
      </w:r>
      <w:r>
        <w:rPr>
          <w:rFonts w:hint="eastAsia" w:eastAsia="宋体"/>
          <w:sz w:val="16"/>
          <w:szCs w:val="16"/>
          <w:lang w:eastAsia="zh-CN"/>
        </w:rPr>
        <w:t xml:space="preserve">number, </w:t>
      </w:r>
      <w:r>
        <w:rPr>
          <w:rFonts w:eastAsia="宋体"/>
          <w:sz w:val="16"/>
          <w:szCs w:val="16"/>
          <w:lang w:eastAsia="zh-CN"/>
        </w:rPr>
        <w:t>a dual-branch parallel architecture</w:t>
      </w:r>
      <w:r>
        <w:rPr>
          <w:rFonts w:hint="eastAsia" w:eastAsia="宋体"/>
          <w:sz w:val="16"/>
          <w:szCs w:val="16"/>
          <w:lang w:eastAsia="zh-CN"/>
        </w:rPr>
        <w:t xml:space="preserve"> has been</w:t>
      </w:r>
      <w:r>
        <w:rPr>
          <w:rFonts w:eastAsia="宋体"/>
          <w:sz w:val="16"/>
          <w:szCs w:val="16"/>
          <w:lang w:eastAsia="zh-CN"/>
        </w:rPr>
        <w:t xml:space="preserve"> designed to</w:t>
      </w:r>
      <w:r>
        <w:rPr>
          <w:rFonts w:hint="eastAsia" w:eastAsia="宋体"/>
          <w:sz w:val="16"/>
          <w:szCs w:val="16"/>
          <w:lang w:eastAsia="zh-CN"/>
        </w:rPr>
        <w:t xml:space="preserve"> realize 8-frame single-shot ultrafast imaging.</w:t>
      </w:r>
    </w:p>
    <w:p w14:paraId="532ED3C6">
      <w:pPr>
        <w:jc w:val="both"/>
        <w:rPr>
          <w:rFonts w:eastAsia="宋体"/>
          <w:sz w:val="16"/>
          <w:szCs w:val="16"/>
          <w:lang w:eastAsia="zh-CN"/>
        </w:rPr>
      </w:pPr>
    </w:p>
    <w:p w14:paraId="72627A7B">
      <w:pPr>
        <w:spacing w:before="120"/>
        <w:jc w:val="both"/>
        <w:rPr>
          <w:rFonts w:eastAsia="宋体"/>
          <w:color w:val="000000"/>
          <w:sz w:val="13"/>
          <w:szCs w:val="13"/>
        </w:rPr>
      </w:pPr>
      <w:bookmarkStart w:id="1" w:name="_Hlk173849874"/>
      <w:bookmarkStart w:id="2" w:name="_Hlk123650752"/>
      <w:r>
        <w:rPr>
          <w:rFonts w:eastAsia="宋体"/>
          <w:b/>
          <w:color w:val="000000"/>
          <w:sz w:val="15"/>
          <w:szCs w:val="15"/>
        </w:rPr>
        <w:t>Funding.</w:t>
      </w:r>
      <w:r>
        <w:rPr>
          <w:rFonts w:eastAsia="宋体"/>
          <w:color w:val="000000"/>
          <w:sz w:val="13"/>
          <w:szCs w:val="13"/>
        </w:rPr>
        <w:t xml:space="preserve"> National Natural Science Foundation of China (</w:t>
      </w:r>
      <w:r>
        <w:rPr>
          <w:rFonts w:hint="eastAsia" w:eastAsia="宋体"/>
          <w:color w:val="000000"/>
          <w:sz w:val="13"/>
          <w:szCs w:val="13"/>
          <w:lang w:eastAsia="zh-CN"/>
        </w:rPr>
        <w:t>XXXX</w:t>
      </w:r>
      <w:r>
        <w:rPr>
          <w:rFonts w:eastAsia="宋体"/>
          <w:color w:val="000000"/>
          <w:sz w:val="13"/>
          <w:szCs w:val="13"/>
        </w:rPr>
        <w:t>).</w:t>
      </w:r>
    </w:p>
    <w:bookmarkEnd w:id="1"/>
    <w:bookmarkEnd w:id="2"/>
    <w:p w14:paraId="4701AD68">
      <w:pPr>
        <w:spacing w:before="120"/>
        <w:jc w:val="both"/>
        <w:rPr>
          <w:rFonts w:eastAsia="宋体"/>
          <w:color w:val="000000"/>
          <w:sz w:val="13"/>
          <w:szCs w:val="13"/>
        </w:rPr>
      </w:pPr>
      <w:r>
        <w:rPr>
          <w:rFonts w:eastAsia="宋体"/>
          <w:b/>
          <w:color w:val="000000"/>
          <w:sz w:val="15"/>
          <w:szCs w:val="15"/>
        </w:rPr>
        <w:t>Disclosures.</w:t>
      </w:r>
      <w:r>
        <w:rPr>
          <w:rFonts w:eastAsia="宋体"/>
          <w:color w:val="000000"/>
          <w:sz w:val="13"/>
          <w:szCs w:val="13"/>
        </w:rPr>
        <w:t xml:space="preserve"> The authors declare no conflicts of interest.</w:t>
      </w:r>
    </w:p>
    <w:p w14:paraId="22F28C83">
      <w:pPr>
        <w:spacing w:before="120" w:after="120"/>
        <w:rPr>
          <w:rFonts w:eastAsia="宋体"/>
          <w:b/>
          <w:bCs/>
          <w:sz w:val="16"/>
          <w:szCs w:val="16"/>
          <w:lang w:eastAsia="zh-CN"/>
        </w:rPr>
      </w:pPr>
      <w:bookmarkStart w:id="3" w:name="_Hlk173851222"/>
      <w:r>
        <w:rPr>
          <w:rFonts w:eastAsia="宋体"/>
          <w:b/>
          <w:bCs/>
          <w:sz w:val="16"/>
          <w:szCs w:val="16"/>
          <w:lang w:eastAsia="zh-CN"/>
        </w:rPr>
        <w:t>References</w:t>
      </w:r>
    </w:p>
    <w:bookmarkEnd w:id="3"/>
    <w:p w14:paraId="5E484A48">
      <w:pPr>
        <w:jc w:val="both"/>
        <w:rPr>
          <w:rFonts w:eastAsia="宋体"/>
          <w:sz w:val="13"/>
        </w:rPr>
      </w:pPr>
      <w:bookmarkStart w:id="4" w:name="_Ref184937333"/>
      <w:r>
        <w:rPr>
          <w:rFonts w:eastAsia="宋体"/>
          <w:sz w:val="13"/>
        </w:rPr>
        <w:t xml:space="preserve">1. A. B. Zylstra, O. A. Hurricane, D. A. Callahan, </w:t>
      </w:r>
      <w:r>
        <w:rPr>
          <w:rFonts w:eastAsia="宋体"/>
          <w:i/>
          <w:iCs/>
          <w:sz w:val="13"/>
        </w:rPr>
        <w:t>et al.</w:t>
      </w:r>
      <w:r>
        <w:rPr>
          <w:rFonts w:hint="eastAsia" w:eastAsia="宋体"/>
          <w:sz w:val="13"/>
        </w:rPr>
        <w:t>,</w:t>
      </w:r>
      <w:r>
        <w:rPr>
          <w:rFonts w:eastAsia="宋体"/>
          <w:sz w:val="13"/>
        </w:rPr>
        <w:t xml:space="preserve"> “Burning plasma achieved in inertial fusion,” Nature </w:t>
      </w:r>
      <w:r>
        <w:rPr>
          <w:rFonts w:eastAsia="宋体"/>
          <w:b/>
          <w:bCs/>
          <w:sz w:val="13"/>
        </w:rPr>
        <w:t>601</w:t>
      </w:r>
      <w:r>
        <w:rPr>
          <w:rFonts w:eastAsia="宋体"/>
          <w:sz w:val="13"/>
        </w:rPr>
        <w:t>(7894)</w:t>
      </w:r>
      <w:r>
        <w:rPr>
          <w:rFonts w:hint="eastAsia" w:eastAsia="宋体"/>
          <w:sz w:val="13"/>
          <w:lang w:eastAsia="zh-CN"/>
        </w:rPr>
        <w:t>,</w:t>
      </w:r>
      <w:r>
        <w:rPr>
          <w:rFonts w:eastAsia="宋体"/>
          <w:sz w:val="13"/>
        </w:rPr>
        <w:t xml:space="preserve"> 542-548 (2022).</w:t>
      </w:r>
      <w:bookmarkEnd w:id="4"/>
    </w:p>
    <w:p w14:paraId="46F043FF">
      <w:pPr>
        <w:jc w:val="both"/>
        <w:rPr>
          <w:rFonts w:eastAsia="宋体"/>
          <w:sz w:val="13"/>
          <w:lang w:eastAsia="zh-CN"/>
        </w:rPr>
      </w:pPr>
      <w:r>
        <w:rPr>
          <w:rFonts w:eastAsia="宋体"/>
          <w:sz w:val="13"/>
          <w:lang w:eastAsia="zh-CN"/>
        </w:rPr>
        <w:t xml:space="preserve">2. Y. Fuentes-Edfuf, M. Garcia-Lechuga, J. Solis, </w:t>
      </w:r>
      <w:r>
        <w:rPr>
          <w:rFonts w:eastAsia="宋体"/>
          <w:i/>
          <w:iCs/>
          <w:sz w:val="13"/>
          <w:lang w:eastAsia="zh-CN"/>
        </w:rPr>
        <w:t>et al</w:t>
      </w:r>
      <w:r>
        <w:rPr>
          <w:rFonts w:eastAsia="宋体"/>
          <w:sz w:val="13"/>
          <w:lang w:eastAsia="zh-CN"/>
        </w:rPr>
        <w:t xml:space="preserve">., “Ultrafast Electron Dynamics and Optical Interference Tomography of Laser Excited Steel,” Laser Photon. Rev. </w:t>
      </w:r>
      <w:r>
        <w:rPr>
          <w:rFonts w:eastAsia="宋体"/>
          <w:bCs/>
          <w:sz w:val="13"/>
          <w:lang w:eastAsia="zh-CN"/>
        </w:rPr>
        <w:t>16</w:t>
      </w:r>
      <w:r>
        <w:rPr>
          <w:rFonts w:eastAsia="宋体"/>
          <w:sz w:val="13"/>
          <w:lang w:eastAsia="zh-CN"/>
        </w:rPr>
        <w:t>(12), 2200511(2022).</w:t>
      </w:r>
    </w:p>
    <w:sectPr>
      <w:type w:val="continuous"/>
      <w:pgSz w:w="11907" w:h="15819"/>
      <w:pgMar w:top="1418" w:right="1418" w:bottom="1418" w:left="1418" w:header="1077" w:footer="1077" w:gutter="0"/>
      <w:cols w:space="360" w:num="2"/>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PMingLiU">
    <w:altName w:val="Microsoft JhengHei UI"/>
    <w:panose1 w:val="02010601000101010101"/>
    <w:charset w:val="88"/>
    <w:family w:val="roman"/>
    <w:pitch w:val="default"/>
    <w:sig w:usb0="00000000" w:usb1="00000000" w:usb2="00000016" w:usb3="00000000" w:csb0="00100001" w:csb1="00000000"/>
  </w:font>
  <w:font w:name="PMingLiU">
    <w:altName w:val="Segoe Print"/>
    <w:panose1 w:val="00000000000000000000"/>
    <w:charset w:val="00"/>
    <w:family w:val="auto"/>
    <w:pitch w:val="default"/>
    <w:sig w:usb0="00000000" w:usb1="00000000" w:usb2="00000000" w:usb3="00000000" w:csb0="00000000" w:csb1="00000000"/>
  </w:font>
  <w:font w:name="Lucida Grande">
    <w:altName w:val="Segoe UI"/>
    <w:panose1 w:val="00000000000000000000"/>
    <w:charset w:val="00"/>
    <w:family w:val="auto"/>
    <w:pitch w:val="default"/>
    <w:sig w:usb0="00000000" w:usb1="00000000" w:usb2="00000000" w:usb3="00000000" w:csb0="000001BF" w:csb1="00000000"/>
  </w:font>
  <w:font w:name="Segoe UI">
    <w:panose1 w:val="020B0502040204020203"/>
    <w:charset w:val="00"/>
    <w:family w:val="auto"/>
    <w:pitch w:val="default"/>
    <w:sig w:usb0="E4002EFF" w:usb1="C000E47F" w:usb2="00000009" w:usb3="00000000" w:csb0="200001FF" w:csb1="00000000"/>
  </w:font>
  <w:font w:name="Arial">
    <w:panose1 w:val="020B0604020202020204"/>
    <w:charset w:val="00"/>
    <w:family w:val="swiss"/>
    <w:pitch w:val="default"/>
    <w:sig w:usb0="E0002EFF" w:usb1="C000785B" w:usb2="00000009" w:usb3="00000000" w:csb0="400001FF" w:csb1="FFFF0000"/>
  </w:font>
  <w:font w:name="Arno Pro">
    <w:altName w:val="Georgia"/>
    <w:panose1 w:val="00000000000000000000"/>
    <w:charset w:val="00"/>
    <w:family w:val="roman"/>
    <w:pitch w:val="default"/>
    <w:sig w:usb0="00000000" w:usb1="00000000" w:usb2="00000000" w:usb3="00000000" w:csb0="0000009F" w:csb1="00000000"/>
  </w:font>
  <w:font w:name="Georgia">
    <w:panose1 w:val="02040502050405020303"/>
    <w:charset w:val="00"/>
    <w:family w:val="auto"/>
    <w:pitch w:val="default"/>
    <w:sig w:usb0="00000287" w:usb1="00000000" w:usb2="00000000" w:usb3="00000000" w:csb0="2000009F" w:csb1="00000000"/>
  </w:font>
  <w:font w:name="ＭＳ 明朝">
    <w:altName w:val="Segoe Print"/>
    <w:panose1 w:val="00000000000000000000"/>
    <w:charset w:val="00"/>
    <w:family w:val="auto"/>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 w:name="Microsoft JhengHei UI">
    <w:panose1 w:val="020B0604030504040204"/>
    <w:charset w:val="88"/>
    <w:family w:val="auto"/>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255CEE">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DB52CE">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C5B9A9">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664AC1">
    <w:pPr>
      <w:pStyle w:val="10"/>
    </w:pPr>
    <w:r>
      <w:rPr>
        <w:snapToGrid/>
      </w:rPr>
      <w:pict>
        <v:shape id="WordPictureWatermark1330685064" o:spid="_x0000_s1033" o:spt="75" type="#_x0000_t75" style="position:absolute;left:0pt;height:362.6pt;width:453.3pt;mso-position-horizontal:center;mso-position-horizontal-relative:margin;mso-position-vertical:center;mso-position-vertical-relative:margin;z-index:-251655168;mso-width-relative:page;mso-height-relative:page;" filled="f" o:preferrelative="t" stroked="f" coordsize="21600,21600" o:allowincell="f">
          <v:path/>
          <v:fill on="f" focussize="0,0"/>
          <v:stroke on="f" joinstyle="miter"/>
          <v:imagedata r:id="rId1" gain="19661f" blacklevel="22938f" o:title="会徽图"/>
          <o:lock v:ext="edit" aspectratio="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C7199F">
    <w:pPr>
      <w:pStyle w:val="10"/>
    </w:pPr>
    <w:r>
      <w:rPr>
        <w:snapToGrid/>
      </w:rPr>
      <w:pict>
        <v:shape id="WordPictureWatermark1330685063" o:spid="_x0000_s1032" o:spt="75" type="#_x0000_t75" style="position:absolute;left:0pt;height:362.6pt;width:453.3pt;mso-position-horizontal:center;mso-position-horizontal-relative:margin;mso-position-vertical:center;mso-position-vertical-relative:margin;z-index:-251656192;mso-width-relative:page;mso-height-relative:page;" filled="f" o:preferrelative="t" stroked="f" coordsize="21600,21600" o:allowincell="f">
          <v:path/>
          <v:fill on="f" focussize="0,0"/>
          <v:stroke on="f" joinstyle="miter"/>
          <v:imagedata r:id="rId1" gain="19661f" blacklevel="22938f" o:title="会徽图"/>
          <o:lock v:ext="edit" aspectratio="t"/>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4035B7">
    <w:pPr>
      <w:pStyle w:val="10"/>
    </w:pPr>
    <w:r>
      <w:rPr>
        <w:snapToGrid/>
        <w:sz w:val="20"/>
        <w:u w:val="single"/>
      </w:rPr>
      <w:pict>
        <v:shape id="WordPictureWatermark1330685062" o:spid="_x0000_s1031" o:spt="75" type="#_x0000_t75" style="position:absolute;left:0pt;height:362.6pt;width:453.3pt;mso-position-horizontal:center;mso-position-horizontal-relative:margin;mso-position-vertical:center;mso-position-vertical-relative:margin;z-index:-251657216;mso-width-relative:page;mso-height-relative:page;" filled="f" o:preferrelative="t" stroked="f" coordsize="21600,21600" o:allowincell="f">
          <v:path/>
          <v:fill on="f" focussize="0,0"/>
          <v:stroke on="f" joinstyle="miter"/>
          <v:imagedata r:id="rId1" gain="19661f" blacklevel="22938f" o:title="会徽图"/>
          <o:lock v:ext="edit" aspectratio="t"/>
        </v:shape>
      </w:pict>
    </w:r>
    <w:r>
      <w:rPr>
        <w:sz w:val="20"/>
        <w:u w:val="single"/>
      </w:rPr>
      <w:t>The 3</w:t>
    </w:r>
    <w:r>
      <w:rPr>
        <w:rFonts w:hint="eastAsia" w:eastAsia="宋体"/>
        <w:sz w:val="20"/>
        <w:u w:val="single"/>
        <w:lang w:eastAsia="zh-CN"/>
      </w:rPr>
      <w:t>3</w:t>
    </w:r>
    <w:r>
      <w:rPr>
        <w:rFonts w:hint="eastAsia" w:eastAsia="宋体"/>
        <w:sz w:val="20"/>
        <w:u w:val="single"/>
        <w:vertAlign w:val="superscript"/>
        <w:lang w:eastAsia="zh-CN"/>
      </w:rPr>
      <w:t>rd</w:t>
    </w:r>
    <w:r>
      <w:rPr>
        <w:sz w:val="20"/>
        <w:u w:val="single"/>
      </w:rPr>
      <w:t xml:space="preserve"> International Congress on High-speed Imaging and Photonics,</w:t>
    </w:r>
    <w:r>
      <w:rPr>
        <w:rFonts w:hint="eastAsia" w:eastAsia="宋体"/>
        <w:sz w:val="20"/>
        <w:u w:val="single"/>
        <w:lang w:eastAsia="zh-CN"/>
      </w:rPr>
      <w:t xml:space="preserve"> October</w:t>
    </w:r>
    <w:r>
      <w:rPr>
        <w:sz w:val="20"/>
        <w:u w:val="single"/>
      </w:rPr>
      <w:t xml:space="preserve"> </w:t>
    </w:r>
    <w:r>
      <w:rPr>
        <w:rFonts w:hint="eastAsia" w:eastAsia="宋体"/>
        <w:sz w:val="20"/>
        <w:u w:val="single"/>
        <w:lang w:eastAsia="zh-CN"/>
      </w:rPr>
      <w:t>15</w:t>
    </w:r>
    <w:r>
      <w:rPr>
        <w:sz w:val="20"/>
        <w:u w:val="single"/>
      </w:rPr>
      <w:t>-1</w:t>
    </w:r>
    <w:r>
      <w:rPr>
        <w:rFonts w:hint="eastAsia" w:eastAsia="宋体"/>
        <w:sz w:val="20"/>
        <w:u w:val="single"/>
        <w:lang w:eastAsia="zh-CN"/>
      </w:rPr>
      <w:t>9</w:t>
    </w:r>
    <w:r>
      <w:rPr>
        <w:sz w:val="20"/>
        <w:u w:val="single"/>
      </w:rPr>
      <w:t>, 20</w:t>
    </w:r>
    <w:r>
      <w:rPr>
        <w:rFonts w:hint="eastAsia" w:eastAsia="宋体"/>
        <w:sz w:val="20"/>
        <w:u w:val="single"/>
        <w:lang w:eastAsia="zh-CN"/>
      </w:rPr>
      <w:t>25</w:t>
    </w:r>
    <w:r>
      <w:rPr>
        <w:sz w:val="20"/>
        <w:u w:val="single"/>
      </w:rPr>
      <w:t xml:space="preserve">, </w:t>
    </w:r>
    <w:r>
      <w:rPr>
        <w:rFonts w:hint="eastAsia" w:eastAsia="宋体"/>
        <w:sz w:val="20"/>
        <w:u w:val="single"/>
        <w:lang w:eastAsia="zh-CN"/>
      </w:rPr>
      <w:t>Shenzhen</w:t>
    </w:r>
    <w:r>
      <w:rPr>
        <w:sz w:val="20"/>
        <w:u w:val="single"/>
      </w:rPr>
      <w:t xml:space="preserve">, </w:t>
    </w:r>
    <w:r>
      <w:rPr>
        <w:rFonts w:hint="eastAsia" w:eastAsia="宋体"/>
        <w:sz w:val="20"/>
        <w:u w:val="single"/>
        <w:lang w:eastAsia="zh-CN"/>
      </w:rPr>
      <w:t>China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010ED4"/>
    <w:multiLevelType w:val="multilevel"/>
    <w:tmpl w:val="14010ED4"/>
    <w:lvl w:ilvl="0" w:tentative="0">
      <w:start w:val="1"/>
      <w:numFmt w:val="decimal"/>
      <w:pStyle w:val="22"/>
      <w:lvlText w:val="%1."/>
      <w:lvlJc w:val="left"/>
      <w:pPr>
        <w:ind w:left="360" w:hanging="360"/>
      </w:pPr>
      <w:rPr>
        <w:rFonts w:hint="default"/>
      </w:rPr>
    </w:lvl>
    <w:lvl w:ilvl="1" w:tentative="0">
      <w:start w:val="1"/>
      <w:numFmt w:val="decimal"/>
      <w:isLgl/>
      <w:lvlText w:val="%1.%2"/>
      <w:lvlJc w:val="left"/>
      <w:pPr>
        <w:ind w:left="360" w:hanging="360"/>
      </w:pPr>
      <w:rPr>
        <w:rFonts w:hint="default"/>
      </w:rPr>
    </w:lvl>
    <w:lvl w:ilvl="2" w:tentative="0">
      <w:start w:val="1"/>
      <w:numFmt w:val="decimal"/>
      <w:isLgl/>
      <w:lvlText w:val="%1.%2.%3"/>
      <w:lvlJc w:val="left"/>
      <w:pPr>
        <w:ind w:left="720" w:hanging="720"/>
      </w:pPr>
      <w:rPr>
        <w:rFonts w:hint="default"/>
      </w:rPr>
    </w:lvl>
    <w:lvl w:ilvl="3" w:tentative="0">
      <w:start w:val="1"/>
      <w:numFmt w:val="decimal"/>
      <w:isLgl/>
      <w:lvlText w:val="%1.%2.%3.%4"/>
      <w:lvlJc w:val="left"/>
      <w:pPr>
        <w:ind w:left="720" w:hanging="720"/>
      </w:pPr>
      <w:rPr>
        <w:rFonts w:hint="default"/>
      </w:rPr>
    </w:lvl>
    <w:lvl w:ilvl="4" w:tentative="0">
      <w:start w:val="1"/>
      <w:numFmt w:val="decimal"/>
      <w:isLgl/>
      <w:lvlText w:val="%1.%2.%3.%4.%5"/>
      <w:lvlJc w:val="left"/>
      <w:pPr>
        <w:ind w:left="720" w:hanging="720"/>
      </w:pPr>
      <w:rPr>
        <w:rFonts w:hint="default"/>
      </w:rPr>
    </w:lvl>
    <w:lvl w:ilvl="5" w:tentative="0">
      <w:start w:val="1"/>
      <w:numFmt w:val="decimal"/>
      <w:isLgl/>
      <w:lvlText w:val="%1.%2.%3.%4.%5.%6"/>
      <w:lvlJc w:val="left"/>
      <w:pPr>
        <w:ind w:left="1080" w:hanging="1080"/>
      </w:pPr>
      <w:rPr>
        <w:rFonts w:hint="default"/>
      </w:rPr>
    </w:lvl>
    <w:lvl w:ilvl="6" w:tentative="0">
      <w:start w:val="1"/>
      <w:numFmt w:val="decimal"/>
      <w:isLgl/>
      <w:lvlText w:val="%1.%2.%3.%4.%5.%6.%7"/>
      <w:lvlJc w:val="left"/>
      <w:pPr>
        <w:ind w:left="1080" w:hanging="1080"/>
      </w:pPr>
      <w:rPr>
        <w:rFonts w:hint="default"/>
      </w:rPr>
    </w:lvl>
    <w:lvl w:ilvl="7" w:tentative="0">
      <w:start w:val="1"/>
      <w:numFmt w:val="decimal"/>
      <w:isLgl/>
      <w:lvlText w:val="%1.%2.%3.%4.%5.%6.%7.%8"/>
      <w:lvlJc w:val="left"/>
      <w:pPr>
        <w:ind w:left="1440" w:hanging="1440"/>
      </w:pPr>
      <w:rPr>
        <w:rFonts w:hint="default"/>
      </w:rPr>
    </w:lvl>
    <w:lvl w:ilvl="8" w:tentative="0">
      <w:start w:val="1"/>
      <w:numFmt w:val="decimal"/>
      <w:isLgl/>
      <w:lvlText w:val="%1.%2.%3.%4.%5.%6.%7.%8.%9"/>
      <w:lvlJc w:val="left"/>
      <w:pPr>
        <w:ind w:left="144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autoHyphenation/>
  <w:displayHorizontalDrawingGridEvery w:val="0"/>
  <w:displayVerticalDrawingGridEvery w:val="0"/>
  <w:doNotUseMarginsForDrawingGridOrigin w:val="1"/>
  <w:drawingGridHorizontalOrigin w:val="1800"/>
  <w:drawingGridVerticalOrigin w:val="1440"/>
  <w:noPunctuationKerning w:val="1"/>
  <w:characterSpacingControl w:val="doNotCompress"/>
  <w:doNotValidateAgainstSchema/>
  <w:doNotDemarcateInvalidXml/>
  <w:hdrShapeDefaults>
    <o:shapelayout v:ext="edit">
      <o:idmap v:ext="edit" data="1"/>
    </o:shapelayout>
  </w:hdrShapeDefault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2MLEwMzG2NDI1NTO3MDRS0lEKTi0uzszPAykwNKwFADMRhOAtAAAA"/>
  </w:docVars>
  <w:rsids>
    <w:rsidRoot w:val="00F2625D"/>
    <w:rsid w:val="00000065"/>
    <w:rsid w:val="00023DEC"/>
    <w:rsid w:val="00023EE3"/>
    <w:rsid w:val="000272FE"/>
    <w:rsid w:val="00036087"/>
    <w:rsid w:val="00053A29"/>
    <w:rsid w:val="0009296B"/>
    <w:rsid w:val="00094A64"/>
    <w:rsid w:val="000A218F"/>
    <w:rsid w:val="000B2112"/>
    <w:rsid w:val="000E7A07"/>
    <w:rsid w:val="000E7ED5"/>
    <w:rsid w:val="00104C47"/>
    <w:rsid w:val="001116E4"/>
    <w:rsid w:val="00141B46"/>
    <w:rsid w:val="001659F9"/>
    <w:rsid w:val="001707EA"/>
    <w:rsid w:val="001A09CC"/>
    <w:rsid w:val="001A107F"/>
    <w:rsid w:val="001A1FBE"/>
    <w:rsid w:val="00205A2E"/>
    <w:rsid w:val="00211416"/>
    <w:rsid w:val="00225C20"/>
    <w:rsid w:val="002474C8"/>
    <w:rsid w:val="00254265"/>
    <w:rsid w:val="00280963"/>
    <w:rsid w:val="002A1949"/>
    <w:rsid w:val="002D18D2"/>
    <w:rsid w:val="002F43B3"/>
    <w:rsid w:val="002F5F12"/>
    <w:rsid w:val="00302324"/>
    <w:rsid w:val="0032389F"/>
    <w:rsid w:val="0037413A"/>
    <w:rsid w:val="00384210"/>
    <w:rsid w:val="00396571"/>
    <w:rsid w:val="003B08C9"/>
    <w:rsid w:val="003B665A"/>
    <w:rsid w:val="003C226F"/>
    <w:rsid w:val="003C4933"/>
    <w:rsid w:val="003C65BD"/>
    <w:rsid w:val="003E00E0"/>
    <w:rsid w:val="003F13F2"/>
    <w:rsid w:val="003F3678"/>
    <w:rsid w:val="003F4C8B"/>
    <w:rsid w:val="003F571E"/>
    <w:rsid w:val="004125E9"/>
    <w:rsid w:val="00420129"/>
    <w:rsid w:val="004246FC"/>
    <w:rsid w:val="00425DE1"/>
    <w:rsid w:val="00433E49"/>
    <w:rsid w:val="00445E26"/>
    <w:rsid w:val="00471513"/>
    <w:rsid w:val="00473963"/>
    <w:rsid w:val="00475317"/>
    <w:rsid w:val="00482AC0"/>
    <w:rsid w:val="004A6DB3"/>
    <w:rsid w:val="004C09F8"/>
    <w:rsid w:val="004D58E3"/>
    <w:rsid w:val="00501C87"/>
    <w:rsid w:val="00530879"/>
    <w:rsid w:val="0054352D"/>
    <w:rsid w:val="0056465C"/>
    <w:rsid w:val="006029C8"/>
    <w:rsid w:val="00616290"/>
    <w:rsid w:val="006425C5"/>
    <w:rsid w:val="0064495B"/>
    <w:rsid w:val="00663F77"/>
    <w:rsid w:val="006863F0"/>
    <w:rsid w:val="006C0C66"/>
    <w:rsid w:val="006D7838"/>
    <w:rsid w:val="006F358B"/>
    <w:rsid w:val="006F5128"/>
    <w:rsid w:val="006F7910"/>
    <w:rsid w:val="006F79B1"/>
    <w:rsid w:val="007145F9"/>
    <w:rsid w:val="00720D3B"/>
    <w:rsid w:val="007265FD"/>
    <w:rsid w:val="00731C29"/>
    <w:rsid w:val="00757525"/>
    <w:rsid w:val="00774DCC"/>
    <w:rsid w:val="0077642F"/>
    <w:rsid w:val="00777A5B"/>
    <w:rsid w:val="00783944"/>
    <w:rsid w:val="007850F6"/>
    <w:rsid w:val="00795390"/>
    <w:rsid w:val="007B3E3C"/>
    <w:rsid w:val="007B57A2"/>
    <w:rsid w:val="007C06D0"/>
    <w:rsid w:val="007F3A8C"/>
    <w:rsid w:val="00823F4C"/>
    <w:rsid w:val="00824B54"/>
    <w:rsid w:val="0083519E"/>
    <w:rsid w:val="00870767"/>
    <w:rsid w:val="00882348"/>
    <w:rsid w:val="008A3FE4"/>
    <w:rsid w:val="008C1B74"/>
    <w:rsid w:val="008D4441"/>
    <w:rsid w:val="008D5019"/>
    <w:rsid w:val="008E37E6"/>
    <w:rsid w:val="00917762"/>
    <w:rsid w:val="00931B56"/>
    <w:rsid w:val="00974A78"/>
    <w:rsid w:val="0097564D"/>
    <w:rsid w:val="009824A4"/>
    <w:rsid w:val="009B3467"/>
    <w:rsid w:val="009B4360"/>
    <w:rsid w:val="009B44DB"/>
    <w:rsid w:val="009C0D3D"/>
    <w:rsid w:val="009C2166"/>
    <w:rsid w:val="009C3BA5"/>
    <w:rsid w:val="009D3A0C"/>
    <w:rsid w:val="009E7ABF"/>
    <w:rsid w:val="009F290B"/>
    <w:rsid w:val="00A05E10"/>
    <w:rsid w:val="00A416AC"/>
    <w:rsid w:val="00A618F2"/>
    <w:rsid w:val="00A83660"/>
    <w:rsid w:val="00AD05AF"/>
    <w:rsid w:val="00AE0F32"/>
    <w:rsid w:val="00AF66B5"/>
    <w:rsid w:val="00B135A2"/>
    <w:rsid w:val="00B259EA"/>
    <w:rsid w:val="00B45A23"/>
    <w:rsid w:val="00B55A35"/>
    <w:rsid w:val="00B66346"/>
    <w:rsid w:val="00B67035"/>
    <w:rsid w:val="00B8652A"/>
    <w:rsid w:val="00B9237B"/>
    <w:rsid w:val="00BB6F7F"/>
    <w:rsid w:val="00BF48CA"/>
    <w:rsid w:val="00C154AC"/>
    <w:rsid w:val="00C238C7"/>
    <w:rsid w:val="00C25539"/>
    <w:rsid w:val="00C3173A"/>
    <w:rsid w:val="00C82884"/>
    <w:rsid w:val="00C93F39"/>
    <w:rsid w:val="00C97D16"/>
    <w:rsid w:val="00CA72B9"/>
    <w:rsid w:val="00CC1C21"/>
    <w:rsid w:val="00CC66B0"/>
    <w:rsid w:val="00CF1B1A"/>
    <w:rsid w:val="00CF7B91"/>
    <w:rsid w:val="00D02879"/>
    <w:rsid w:val="00D105D2"/>
    <w:rsid w:val="00D128EA"/>
    <w:rsid w:val="00D13B82"/>
    <w:rsid w:val="00D168E8"/>
    <w:rsid w:val="00D20AD8"/>
    <w:rsid w:val="00D21160"/>
    <w:rsid w:val="00D3445A"/>
    <w:rsid w:val="00D35850"/>
    <w:rsid w:val="00D55F1B"/>
    <w:rsid w:val="00D56BC3"/>
    <w:rsid w:val="00D918E8"/>
    <w:rsid w:val="00DA6FED"/>
    <w:rsid w:val="00DC0724"/>
    <w:rsid w:val="00DE1A15"/>
    <w:rsid w:val="00DF26B3"/>
    <w:rsid w:val="00E2236D"/>
    <w:rsid w:val="00E27076"/>
    <w:rsid w:val="00E3128F"/>
    <w:rsid w:val="00E663DD"/>
    <w:rsid w:val="00E71EF3"/>
    <w:rsid w:val="00E831E1"/>
    <w:rsid w:val="00EA6C1B"/>
    <w:rsid w:val="00EC2325"/>
    <w:rsid w:val="00EE5C3F"/>
    <w:rsid w:val="00EF15E4"/>
    <w:rsid w:val="00F2625D"/>
    <w:rsid w:val="00F61C8B"/>
    <w:rsid w:val="00F718AD"/>
    <w:rsid w:val="00F71BB7"/>
    <w:rsid w:val="00F751A9"/>
    <w:rsid w:val="00F921A0"/>
    <w:rsid w:val="00FA474A"/>
    <w:rsid w:val="00FB73B2"/>
    <w:rsid w:val="00FD3CF9"/>
    <w:rsid w:val="00FE1564"/>
    <w:rsid w:val="0C3E2F0C"/>
    <w:rsid w:val="24B16DB3"/>
    <w:rsid w:val="2D8306AA"/>
    <w:rsid w:val="2DEE1401"/>
    <w:rsid w:val="70BA3C3B"/>
  </w:rsids>
  <m:mathPr>
    <m:mathFont m:val="Cambria Math"/>
    <m:brkBin m:val="before"/>
    <m:brkBinSub m:val="--"/>
    <m:smallFrac m:val="0"/>
    <m:dispDef m:val="0"/>
    <m:lMargin m:val="0"/>
    <m:rMargin m:val="0"/>
    <m:defJc m:val="centerGroup"/>
    <m:wrapRight m:val="1"/>
    <m:intLim m:val="subSup"/>
    <m:naryLim m:val="subSup"/>
  </m:mathPr>
  <w:doNotAutoCompressPictures/>
  <w:themeFontLang w:val="en-US" w:eastAsia="ja-JP"/>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iPriority="0" w:name="heading 7"/>
    <w:lsdException w:uiPriority="0" w:name="heading 8"/>
    <w:lsdException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99"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semiHidden="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unhideWhenUsed="0" w:uiPriority="0" w:semiHidden="0" w:name="Strong"/>
    <w:lsdException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PMingLiU" w:cs="Times New Roman"/>
      <w:lang w:val="en-US" w:eastAsia="en-US" w:bidi="ar-SA"/>
    </w:rPr>
  </w:style>
  <w:style w:type="paragraph" w:styleId="2">
    <w:name w:val="heading 1"/>
    <w:basedOn w:val="1"/>
    <w:next w:val="1"/>
    <w:qFormat/>
    <w:uiPriority w:val="0"/>
    <w:pPr>
      <w:widowControl w:val="0"/>
      <w:jc w:val="center"/>
      <w:outlineLvl w:val="0"/>
    </w:pPr>
    <w:rPr>
      <w:b/>
      <w:snapToGrid w:val="0"/>
      <w:sz w:val="24"/>
    </w:rPr>
  </w:style>
  <w:style w:type="paragraph" w:styleId="3">
    <w:name w:val="heading 2"/>
    <w:basedOn w:val="1"/>
    <w:next w:val="1"/>
    <w:qFormat/>
    <w:uiPriority w:val="0"/>
    <w:pPr>
      <w:widowControl w:val="0"/>
      <w:jc w:val="center"/>
      <w:outlineLvl w:val="1"/>
    </w:pPr>
    <w:rPr>
      <w:snapToGrid w:val="0"/>
      <w:sz w:val="24"/>
    </w:rPr>
  </w:style>
  <w:style w:type="paragraph" w:styleId="4">
    <w:name w:val="heading 3"/>
    <w:basedOn w:val="1"/>
    <w:next w:val="1"/>
    <w:qFormat/>
    <w:uiPriority w:val="0"/>
    <w:pPr>
      <w:keepNext/>
      <w:widowControl w:val="0"/>
      <w:jc w:val="both"/>
      <w:outlineLvl w:val="2"/>
    </w:pPr>
    <w:rPr>
      <w:b/>
      <w:snapToGrid w:val="0"/>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caption"/>
    <w:basedOn w:val="1"/>
    <w:next w:val="1"/>
    <w:qFormat/>
    <w:uiPriority w:val="0"/>
    <w:pPr>
      <w:spacing w:before="120" w:after="120"/>
      <w:jc w:val="both"/>
    </w:pPr>
    <w:rPr>
      <w:b/>
    </w:rPr>
  </w:style>
  <w:style w:type="paragraph" w:styleId="6">
    <w:name w:val="Body Text"/>
    <w:basedOn w:val="1"/>
    <w:qFormat/>
    <w:uiPriority w:val="0"/>
    <w:pPr>
      <w:tabs>
        <w:tab w:val="left" w:pos="-1080"/>
        <w:tab w:val="left" w:pos="-720"/>
        <w:tab w:val="left" w:pos="0"/>
        <w:tab w:val="left" w:pos="180"/>
        <w:tab w:val="left" w:pos="1440"/>
      </w:tabs>
      <w:jc w:val="both"/>
    </w:pPr>
  </w:style>
  <w:style w:type="paragraph" w:styleId="7">
    <w:name w:val="Body Text Indent"/>
    <w:basedOn w:val="1"/>
    <w:qFormat/>
    <w:uiPriority w:val="0"/>
    <w:pPr>
      <w:tabs>
        <w:tab w:val="left" w:pos="-1080"/>
        <w:tab w:val="left" w:pos="-720"/>
        <w:tab w:val="left" w:pos="0"/>
        <w:tab w:val="left" w:pos="180"/>
        <w:tab w:val="left" w:pos="1440"/>
      </w:tabs>
      <w:ind w:firstLine="360"/>
      <w:jc w:val="both"/>
    </w:pPr>
  </w:style>
  <w:style w:type="paragraph" w:styleId="8">
    <w:name w:val="Balloon Text"/>
    <w:basedOn w:val="1"/>
    <w:link w:val="18"/>
    <w:qFormat/>
    <w:uiPriority w:val="0"/>
    <w:rPr>
      <w:rFonts w:ascii="Lucida Grande" w:hAnsi="Lucida Grande" w:cs="Lucida Grande"/>
      <w:sz w:val="18"/>
      <w:szCs w:val="18"/>
    </w:rPr>
  </w:style>
  <w:style w:type="paragraph" w:styleId="9">
    <w:name w:val="footer"/>
    <w:basedOn w:val="1"/>
    <w:qFormat/>
    <w:uiPriority w:val="0"/>
    <w:pPr>
      <w:tabs>
        <w:tab w:val="center" w:pos="4320"/>
        <w:tab w:val="right" w:pos="8640"/>
      </w:tabs>
    </w:pPr>
  </w:style>
  <w:style w:type="paragraph" w:styleId="10">
    <w:name w:val="header"/>
    <w:basedOn w:val="1"/>
    <w:link w:val="19"/>
    <w:qFormat/>
    <w:uiPriority w:val="99"/>
    <w:pPr>
      <w:widowControl w:val="0"/>
      <w:jc w:val="center"/>
    </w:pPr>
    <w:rPr>
      <w:i/>
      <w:snapToGrid w:val="0"/>
      <w:sz w:val="16"/>
    </w:rPr>
  </w:style>
  <w:style w:type="character" w:styleId="13">
    <w:name w:val="FollowedHyperlink"/>
    <w:basedOn w:val="12"/>
    <w:qFormat/>
    <w:uiPriority w:val="0"/>
    <w:rPr>
      <w:color w:val="800080" w:themeColor="followedHyperlink"/>
      <w:u w:val="single"/>
      <w14:textFill>
        <w14:solidFill>
          <w14:schemeClr w14:val="folHlink"/>
        </w14:solidFill>
      </w14:textFill>
    </w:rPr>
  </w:style>
  <w:style w:type="character" w:styleId="14">
    <w:name w:val="Hyperlink"/>
    <w:basedOn w:val="12"/>
    <w:qFormat/>
    <w:uiPriority w:val="0"/>
    <w:rPr>
      <w:color w:val="0000FF" w:themeColor="hyperlink"/>
      <w:u w:val="single"/>
      <w14:textFill>
        <w14:solidFill>
          <w14:schemeClr w14:val="hlink"/>
        </w14:solidFill>
      </w14:textFill>
    </w:rPr>
  </w:style>
  <w:style w:type="character" w:styleId="15">
    <w:name w:val="footnote reference"/>
    <w:qFormat/>
    <w:uiPriority w:val="0"/>
  </w:style>
  <w:style w:type="paragraph" w:customStyle="1" w:styleId="16">
    <w:name w:val="Abstract Heading"/>
    <w:basedOn w:val="4"/>
    <w:qFormat/>
    <w:uiPriority w:val="0"/>
    <w:pPr>
      <w:jc w:val="center"/>
    </w:pPr>
  </w:style>
  <w:style w:type="character" w:customStyle="1" w:styleId="17">
    <w:name w:val="MTEquationSection"/>
    <w:basedOn w:val="12"/>
    <w:qFormat/>
    <w:uiPriority w:val="0"/>
    <w:rPr>
      <w:rFonts w:ascii="Arial" w:hAnsi="Arial"/>
      <w:vanish/>
      <w:color w:val="FF0000"/>
    </w:rPr>
  </w:style>
  <w:style w:type="character" w:customStyle="1" w:styleId="18">
    <w:name w:val="批注框文本 字符"/>
    <w:basedOn w:val="12"/>
    <w:link w:val="8"/>
    <w:uiPriority w:val="0"/>
    <w:rPr>
      <w:rFonts w:ascii="Lucida Grande" w:hAnsi="Lucida Grande" w:cs="Lucida Grande"/>
      <w:sz w:val="18"/>
      <w:szCs w:val="18"/>
    </w:rPr>
  </w:style>
  <w:style w:type="character" w:customStyle="1" w:styleId="19">
    <w:name w:val="页眉 字符"/>
    <w:basedOn w:val="12"/>
    <w:link w:val="10"/>
    <w:qFormat/>
    <w:uiPriority w:val="99"/>
    <w:rPr>
      <w:i/>
      <w:snapToGrid w:val="0"/>
      <w:sz w:val="16"/>
    </w:rPr>
  </w:style>
  <w:style w:type="paragraph" w:styleId="20">
    <w:name w:val="List Paragraph"/>
    <w:basedOn w:val="1"/>
    <w:qFormat/>
    <w:uiPriority w:val="0"/>
    <w:pPr>
      <w:ind w:left="840" w:leftChars="400"/>
    </w:pPr>
  </w:style>
  <w:style w:type="paragraph" w:customStyle="1" w:styleId="21">
    <w:name w:val="BC_Author_Address"/>
    <w:basedOn w:val="1"/>
    <w:next w:val="1"/>
    <w:qFormat/>
    <w:uiPriority w:val="0"/>
    <w:pPr>
      <w:widowControl w:val="0"/>
      <w:kinsoku w:val="0"/>
      <w:overflowPunct w:val="0"/>
      <w:autoSpaceDE w:val="0"/>
      <w:autoSpaceDN w:val="0"/>
      <w:adjustRightInd w:val="0"/>
      <w:snapToGrid w:val="0"/>
      <w:spacing w:before="120" w:after="120" w:line="360" w:lineRule="auto"/>
      <w:jc w:val="center"/>
    </w:pPr>
    <w:rPr>
      <w:rFonts w:ascii="Arno Pro" w:hAnsi="Arno Pro"/>
      <w:kern w:val="26"/>
      <w:sz w:val="28"/>
      <w:szCs w:val="28"/>
      <w:lang w:eastAsia="zh-CN"/>
    </w:rPr>
  </w:style>
  <w:style w:type="paragraph" w:customStyle="1" w:styleId="22">
    <w:name w:val="08 Section Header 1"/>
    <w:next w:val="1"/>
    <w:qFormat/>
    <w:uiPriority w:val="0"/>
    <w:pPr>
      <w:numPr>
        <w:ilvl w:val="0"/>
        <w:numId w:val="1"/>
      </w:numPr>
      <w:spacing w:before="120"/>
    </w:pPr>
    <w:rPr>
      <w:rFonts w:ascii="Arial" w:hAnsi="Arial" w:eastAsiaTheme="minorEastAsia" w:cstheme="minorBidi"/>
      <w:b/>
      <w:szCs w:val="22"/>
      <w:lang w:val="en-US" w:eastAsia="en-US" w:bidi="ar-SA"/>
    </w:rPr>
  </w:style>
  <w:style w:type="paragraph" w:styleId="23">
    <w:name w:val="No Spacing"/>
    <w:link w:val="24"/>
    <w:qFormat/>
    <w:uiPriority w:val="1"/>
    <w:rPr>
      <w:rFonts w:asciiTheme="minorHAnsi" w:hAnsiTheme="minorHAnsi" w:eastAsiaTheme="minorEastAsia" w:cstheme="minorBidi"/>
      <w:sz w:val="22"/>
      <w:szCs w:val="22"/>
      <w:lang w:val="en-US" w:eastAsia="zh-CN" w:bidi="ar-SA"/>
    </w:rPr>
  </w:style>
  <w:style w:type="character" w:customStyle="1" w:styleId="24">
    <w:name w:val="无间隔 字符"/>
    <w:basedOn w:val="12"/>
    <w:link w:val="23"/>
    <w:uiPriority w:val="1"/>
    <w:rPr>
      <w:rFonts w:asciiTheme="minorHAnsi" w:hAnsiTheme="minorHAnsi" w:eastAsiaTheme="minorEastAsia" w:cstheme="minorBidi"/>
      <w:sz w:val="22"/>
      <w:szCs w:val="2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33"/>
    <customShpInfo spid="_x0000_s1032"/>
    <customShpInfo spid="_x0000_s103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F4D1ABD-DD82-4E6B-936E-B5EE25ED37E2}">
  <ds:schemaRefs/>
</ds:datastoreItem>
</file>

<file path=docProps/app.xml><?xml version="1.0" encoding="utf-8"?>
<Properties xmlns="http://schemas.openxmlformats.org/officeDocument/2006/extended-properties" xmlns:vt="http://schemas.openxmlformats.org/officeDocument/2006/docPropsVTypes">
  <Template>Normal.dotm</Template>
  <Company>ILASS - Americas</Company>
  <Pages>1</Pages>
  <Words>761</Words>
  <Characters>4594</Characters>
  <Lines>38</Lines>
  <Paragraphs>10</Paragraphs>
  <TotalTime>15</TotalTime>
  <ScaleCrop>false</ScaleCrop>
  <LinksUpToDate>false</LinksUpToDate>
  <CharactersWithSpaces>5339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2025-09-25T06:25:00Z</dcterms:created>
  <dc:creator>Mario F Trujillo</dc:creator>
  <cp:lastModifiedBy>WPS_1756452696</cp:lastModifiedBy>
  <cp:lastPrinted>2015-12-07T06:55:00Z</cp:lastPrinted>
  <dcterms:modified xsi:type="dcterms:W3CDTF">2025-09-25T08:04:54Z</dcterms:modified>
  <dc:title>ILASS Paper Format</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eyJoZGlkIjoiZTkxYTU3NDk5MTNmZTA5ZjY0MDgyNzQyYjE1NjQ1MGYiLCJ1c2VySWQiOiIxNzMyMzMxMjIyIn0=</vt:lpwstr>
  </property>
  <property fmtid="{D5CDD505-2E9C-101B-9397-08002B2CF9AE}" pid="3" name="KSOProductBuildVer">
    <vt:lpwstr>2052-12.1.0.22529</vt:lpwstr>
  </property>
  <property fmtid="{D5CDD505-2E9C-101B-9397-08002B2CF9AE}" pid="4" name="ICV">
    <vt:lpwstr>FBC1523B07664E018762DDB13C87B562_12</vt:lpwstr>
  </property>
</Properties>
</file>